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2DC6D87C" w:rsidR="00FF22A5" w:rsidRDefault="00F26BE4" w:rsidP="00FF22A5">
      <w:pPr>
        <w:jc w:val="both"/>
        <w:rPr>
          <w:rStyle w:val="BLOCKBOLD"/>
          <w:rFonts w:ascii="Calibri" w:hAnsi="Calibri"/>
        </w:rPr>
      </w:pPr>
      <w:r w:rsidRPr="00F26BE4">
        <w:rPr>
          <w:rStyle w:val="BLOCKBOLD"/>
          <w:rFonts w:ascii="Calibri" w:hAnsi="Calibri"/>
        </w:rPr>
        <w:t>Affidamento diretto su MEPA (ex art. 1 comma 2 lett. a) della legge 120/2020 ed ex art. 36, comma 6 d.lgs. 50/2016)</w:t>
      </w:r>
      <w:r w:rsidR="00FF22A5" w:rsidRPr="00A007BF">
        <w:rPr>
          <w:rStyle w:val="BLOCKBOLD"/>
          <w:rFonts w:ascii="Calibri" w:hAnsi="Calibri"/>
        </w:rPr>
        <w:t xml:space="preserve"> per</w:t>
      </w:r>
      <w:r>
        <w:rPr>
          <w:rStyle w:val="BLOCKBOLD"/>
          <w:rFonts w:ascii="Calibri" w:hAnsi="Calibri"/>
        </w:rPr>
        <w:t xml:space="preserve"> il rinnovo subscriprion autocad multiuser per l’agenzia delle dogane e dei monopoli e per l’agenzia delle entrate</w:t>
      </w:r>
      <w:bookmarkStart w:id="0" w:name="_GoBack"/>
      <w:bookmarkEnd w:id="0"/>
      <w:r w:rsidR="00FF22A5" w:rsidRPr="00A007BF">
        <w:rPr>
          <w:rStyle w:val="BLOCKBOLD"/>
          <w:rFonts w:ascii="Calibri" w:hAnsi="Calibri"/>
        </w:rPr>
        <w:t xml:space="preserve">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C609B4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color w:val="0000CC"/>
          <w:lang w:eastAsia="ar-SA"/>
        </w:rPr>
      </w:pPr>
      <w:r w:rsidRPr="001B6FDA">
        <w:rPr>
          <w:rFonts w:eastAsia="Times New Roman" w:cstheme="minorHAnsi"/>
          <w:i/>
          <w:color w:val="0000CC"/>
          <w:lang w:eastAsia="ar-SA"/>
        </w:rPr>
        <w:t xml:space="preserve">&lt;eventuali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dichiarazioni relative alle</w:t>
      </w:r>
      <w:r w:rsidRPr="001B6FDA">
        <w:rPr>
          <w:rFonts w:ascii="Calibri" w:hAnsi="Calibri" w:cs="Arial"/>
          <w:i/>
          <w:color w:val="0000CC"/>
          <w:sz w:val="20"/>
          <w:szCs w:val="20"/>
          <w:u w:val="single"/>
        </w:rPr>
        <w:t xml:space="preserve"> fattispecie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 xml:space="preserve"> ricadenti nell’ambito di applicazione dell’art. 80,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 xml:space="preserve">comma 5,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così come precisate nelle condizioni particolari di RDO,</w:t>
      </w:r>
      <w:r w:rsidRPr="001B6FDA">
        <w:rPr>
          <w:rFonts w:eastAsia="Times New Roman" w:cstheme="minorHAnsi"/>
          <w:i/>
          <w:color w:val="0000CC"/>
          <w:lang w:eastAsia="ar-SA"/>
        </w:rPr>
        <w:t xml:space="preserve">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lad</w:t>
      </w:r>
      <w:r w:rsidRPr="001B6FDA">
        <w:rPr>
          <w:rFonts w:ascii="Calibri" w:hAnsi="Calibri" w:cs="Arial"/>
          <w:b/>
          <w:i/>
          <w:color w:val="0000CC"/>
          <w:szCs w:val="20"/>
        </w:rPr>
        <w:t xml:space="preserve">dove in sede di ammissione al MEPA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o di rinnovo dati non se ne fosse tenuto conto&gt;</w:t>
      </w: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020ED127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F26BE4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26BE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2021-10-19T15:55:00Z</dcterms:modified>
</cp:coreProperties>
</file>